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9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128"/>
        <w:gridCol w:w="8844"/>
      </w:tblGrid>
      <w:tr w:rsidR="00676C80" w14:paraId="1258A182" w14:textId="77777777" w:rsidTr="00C73FD4">
        <w:trPr>
          <w:trHeight w:val="765"/>
          <w:jc w:val="center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4718" w14:textId="71394D5D" w:rsidR="00676C80" w:rsidRDefault="00C73FD4">
            <w:r>
              <w:rPr>
                <w:noProof/>
                <w:sz w:val="20"/>
                <w:szCs w:val="20"/>
              </w:rPr>
              <w:drawing>
                <wp:inline distT="0" distB="0" distL="0" distR="0" wp14:anchorId="3E59D44F" wp14:editId="1732A75B">
                  <wp:extent cx="528460" cy="525780"/>
                  <wp:effectExtent l="0" t="0" r="0" b="0"/>
                  <wp:docPr id="1073741825" name="officeArt object" descr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 descr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460" cy="525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1AF1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ISTITUTO ISTRUZIONE SUPERIORE </w:t>
            </w:r>
            <w:r w:rsidRPr="00C73FD4"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>E.S. PICCOLOMINI”</w:t>
            </w:r>
          </w:p>
          <w:p w14:paraId="7C49645E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C73FD4">
              <w:rPr>
                <w:rFonts w:ascii="Times New Roman" w:hAnsi="Times New Roman"/>
                <w:sz w:val="16"/>
                <w:szCs w:val="16"/>
                <w:u w:val="single"/>
                <w:lang w:val="it-IT"/>
              </w:rPr>
              <w:t>con sezioni associate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: Liceo Classico e Musicale </w:t>
            </w:r>
            <w:r w:rsidRPr="00C73FD4"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>E.S. Piccolomini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” Siena – 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</w:t>
            </w:r>
            <w:proofErr w:type="spellStart"/>
            <w:proofErr w:type="gramStart"/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>S.Agostino</w:t>
            </w:r>
            <w:proofErr w:type="spellEnd"/>
            <w:proofErr w:type="gramEnd"/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n.2 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>– Tel.0577280787</w:t>
            </w:r>
          </w:p>
          <w:p w14:paraId="269C5BAB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C73FD4">
              <w:rPr>
                <w:rFonts w:ascii="Times New Roman" w:hAnsi="Times New Roman"/>
                <w:sz w:val="16"/>
                <w:szCs w:val="16"/>
                <w:lang w:val="pt-PT"/>
              </w:rPr>
              <w:t>Liceo Artistico</w:t>
            </w:r>
            <w:r w:rsidRPr="00C7211C">
              <w:rPr>
                <w:rFonts w:ascii="Times New Roman" w:hAnsi="Times New Roman"/>
                <w:i/>
                <w:iCs/>
                <w:sz w:val="16"/>
                <w:szCs w:val="16"/>
                <w:lang w:val="it-IT"/>
              </w:rPr>
              <w:t xml:space="preserve"> </w:t>
            </w:r>
            <w:r w:rsidRPr="00C73FD4"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 xml:space="preserve"> “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>D. Buoninsegna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” – Siena – 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Piazza Madre Teresa di Calcutta n.2 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>– Tel.0577/281223</w:t>
            </w:r>
          </w:p>
          <w:p w14:paraId="577569CA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Liceo Scienze Umane e Liceo Economico Sociale </w:t>
            </w:r>
            <w:r w:rsidRPr="00C73FD4"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>S. Caterina da Siena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” Siena – </w:t>
            </w:r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</w:t>
            </w:r>
            <w:proofErr w:type="spellStart"/>
            <w:proofErr w:type="gramStart"/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>S.Agostino</w:t>
            </w:r>
            <w:proofErr w:type="spellEnd"/>
            <w:proofErr w:type="gramEnd"/>
            <w:r w:rsidRPr="00C73FD4"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n.2 </w:t>
            </w:r>
            <w:r w:rsidRPr="00C7211C">
              <w:rPr>
                <w:rFonts w:ascii="Times New Roman" w:hAnsi="Times New Roman"/>
                <w:sz w:val="16"/>
                <w:szCs w:val="16"/>
                <w:lang w:val="it-IT"/>
              </w:rPr>
              <w:t>– Tel.0577280787</w:t>
            </w:r>
          </w:p>
          <w:p w14:paraId="4E684CD7" w14:textId="77777777" w:rsidR="00676C80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</w:pPr>
            <w:r>
              <w:rPr>
                <w:rFonts w:ascii="Arial Narrow" w:hAnsi="Arial Narrow"/>
                <w:sz w:val="8"/>
                <w:szCs w:val="8"/>
                <w:lang w:val="en-US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5C62008" w14:textId="77777777" w:rsidR="00676C80" w:rsidRDefault="00676C80" w:rsidP="00C73FD4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0CC7AFBF" w14:textId="77777777" w:rsidR="00676C80" w:rsidRDefault="00C70114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Anno scolastico 202</w:t>
      </w:r>
      <w:r>
        <w:rPr>
          <w:rFonts w:ascii="Times New Roman" w:hAnsi="Times New Roman"/>
          <w:b/>
          <w:bCs/>
          <w:sz w:val="25"/>
          <w:szCs w:val="25"/>
          <w:lang w:val="en-US"/>
        </w:rPr>
        <w:t>5/2026</w:t>
      </w:r>
    </w:p>
    <w:p w14:paraId="63ADE7E2" w14:textId="77777777" w:rsidR="00676C80" w:rsidRDefault="00C70114">
      <w:pPr>
        <w:pStyle w:val="CorpoA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440" w:hanging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PIANO DI LAVORO DEL DOCENTE</w:t>
      </w:r>
    </w:p>
    <w:tbl>
      <w:tblPr>
        <w:tblStyle w:val="TableNormal"/>
        <w:tblW w:w="9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676C80" w14:paraId="4E5AD664" w14:textId="77777777">
        <w:trPr>
          <w:trHeight w:val="2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5B70" w14:textId="4BD37A33" w:rsidR="00676C80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Docente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r w:rsidR="00C7211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GIANMARCO BIANCHI</w:t>
            </w:r>
          </w:p>
        </w:tc>
      </w:tr>
      <w:tr w:rsidR="00676C80" w14:paraId="5629FCF2" w14:textId="77777777">
        <w:trPr>
          <w:trHeight w:val="2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9A2A" w14:textId="5A32002B" w:rsidR="00676C80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Disciplina/e:</w:t>
            </w:r>
            <w:r w:rsidR="00C7211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MATEMATICA </w:t>
            </w:r>
          </w:p>
        </w:tc>
      </w:tr>
      <w:tr w:rsidR="00676C80" w:rsidRPr="00BB3BC0" w14:paraId="7296C8A9" w14:textId="77777777">
        <w:trPr>
          <w:trHeight w:val="2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B8E4" w14:textId="4B0FC21F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Classe:</w:t>
            </w:r>
            <w:r w:rsidR="002E308E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3B</w:t>
            </w: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                   Sezione Associata:</w:t>
            </w:r>
            <w:r w:rsidR="00C7211C"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SCIENZE U</w:t>
            </w:r>
            <w:r w:rsid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MANE </w:t>
            </w:r>
          </w:p>
        </w:tc>
      </w:tr>
    </w:tbl>
    <w:p w14:paraId="1D9CE053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</w:rPr>
      </w:pPr>
    </w:p>
    <w:p w14:paraId="26569D68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63E15CAC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676C80" w:rsidRPr="00BB3BC0" w14:paraId="00ACF314" w14:textId="77777777">
        <w:trPr>
          <w:trHeight w:val="6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0DAC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PROFILO INIZIALE DELLA CLASSE</w:t>
            </w:r>
          </w:p>
          <w:p w14:paraId="24F25B80" w14:textId="67226622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 livelli di partenza osservati nella fase iniziale dell</w:t>
            </w:r>
            <w:r w:rsidR="0075042F">
              <w:rPr>
                <w:rFonts w:ascii="Arial Unicode MS" w:hAnsi="Arial Unicode MS"/>
                <w:sz w:val="18"/>
                <w:szCs w:val="18"/>
                <w:lang w:val="it-IT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anno: prerequisiti, conoscenze, competenze, livelli di impegno, interesse, partecipazione alle proposte didattiche, etc.)</w:t>
            </w:r>
          </w:p>
        </w:tc>
      </w:tr>
      <w:tr w:rsidR="00676C80" w:rsidRPr="00BB3BC0" w14:paraId="47BFE81A" w14:textId="77777777">
        <w:trPr>
          <w:trHeight w:val="29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1201" w14:textId="77777777" w:rsidR="00676C80" w:rsidRDefault="00676C80">
            <w:pPr>
              <w:rPr>
                <w:lang w:val="it-IT"/>
              </w:rPr>
            </w:pPr>
          </w:p>
          <w:p w14:paraId="2788FAA1" w14:textId="5E352CCE" w:rsidR="00C7211C" w:rsidRDefault="00217158">
            <w:pPr>
              <w:rPr>
                <w:lang w:val="it-IT"/>
              </w:rPr>
            </w:pPr>
            <w:r>
              <w:rPr>
                <w:lang w:val="it-IT"/>
              </w:rPr>
              <w:t xml:space="preserve">La classe </w:t>
            </w:r>
            <w:r w:rsidR="003A3085">
              <w:rPr>
                <w:lang w:val="it-IT"/>
              </w:rPr>
              <w:t xml:space="preserve">composta di 16 alunni di cui 15 femmine, </w:t>
            </w:r>
            <w:r>
              <w:rPr>
                <w:lang w:val="it-IT"/>
              </w:rPr>
              <w:t xml:space="preserve">conferma anche in questo inizio di terzo anno scolastico la sua disomogeneità nei livelli di partenza con alcuni alunni che mostrano/confermano solide basi di aritmetica ed algebra, una buona parte della classe con un discreto livello di base nonostante alcune sporadiche incertezze e pochi alunni con un livello </w:t>
            </w:r>
            <w:r w:rsidR="003A3085">
              <w:rPr>
                <w:lang w:val="it-IT"/>
              </w:rPr>
              <w:t>di partenza insicuro. Nel complesso la classe mostra una discreta scolarizzazione per quanto riguarda l’attenzione in classe, l’interesse e lo studio a casa, sebbene confermi una certa ritrosia nella partecipazione attiva, per cui spesso anche gli alunni con migliori livelli e con un solido metodo di studio, preferiscono rimanere nella loro confort-zone; fra gli alunni che partecipano di più alcuni hanno purtroppo uno studio non regolare per cui le loro buone doti di ragionamento non sempre vengono sfruttate per raggiungere quelle buone/ottime prestazioni (e quindi valutazioni) che per capacità invece potrebbero raggiungere.</w:t>
            </w:r>
          </w:p>
          <w:p w14:paraId="46378E06" w14:textId="2229B8A2" w:rsidR="003A3085" w:rsidRDefault="003A3085">
            <w:pPr>
              <w:rPr>
                <w:lang w:val="it-IT"/>
              </w:rPr>
            </w:pPr>
            <w:r>
              <w:rPr>
                <w:lang w:val="it-IT"/>
              </w:rPr>
              <w:t>Nello sviluppo del programma di questo terzo anno sono e saranno prerequisiti le discrete basi di aritmetica e di algebra sviluppate nel primo biennio.</w:t>
            </w:r>
          </w:p>
          <w:p w14:paraId="06B929D2" w14:textId="256B05AF" w:rsidR="003A3085" w:rsidRDefault="003A3085">
            <w:pPr>
              <w:rPr>
                <w:lang w:val="it-IT"/>
              </w:rPr>
            </w:pPr>
            <w:r>
              <w:rPr>
                <w:lang w:val="it-IT"/>
              </w:rPr>
              <w:t>Le risposte alle proposte didattiche di approfondimento e/o extracurricolare sembrano manifestare più il timore di un lavoro aggiuntivo che l’emozione/l’interesse verso qualcosa di nuovo da imparare/conoscere.</w:t>
            </w:r>
          </w:p>
          <w:p w14:paraId="05F5F4E0" w14:textId="77777777" w:rsidR="00C7211C" w:rsidRPr="00C7211C" w:rsidRDefault="00C7211C">
            <w:pPr>
              <w:rPr>
                <w:lang w:val="it-IT"/>
              </w:rPr>
            </w:pPr>
          </w:p>
        </w:tc>
      </w:tr>
    </w:tbl>
    <w:p w14:paraId="283811A9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0A0A3D51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676C80" w:rsidRPr="00BB3BC0" w14:paraId="5542F081" w14:textId="77777777">
        <w:trPr>
          <w:trHeight w:val="2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52C0831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FINALITÀ/OBIETTIVI della/e disciplina/e</w:t>
            </w:r>
          </w:p>
        </w:tc>
      </w:tr>
      <w:tr w:rsidR="003A3085" w:rsidRPr="00BB3BC0" w14:paraId="29CCACAB" w14:textId="77777777">
        <w:trPr>
          <w:trHeight w:val="29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56BD" w14:textId="77777777" w:rsidR="003A3085" w:rsidRPr="005A5EDA" w:rsidRDefault="003A3085" w:rsidP="003A3085">
            <w:pPr>
              <w:rPr>
                <w:lang w:val="it-IT"/>
              </w:rPr>
            </w:pPr>
          </w:p>
          <w:p w14:paraId="4BEB7104" w14:textId="77777777" w:rsidR="003A3085" w:rsidRPr="0081521D" w:rsidRDefault="003A3085" w:rsidP="003A3085">
            <w:pPr>
              <w:rPr>
                <w:sz w:val="22"/>
                <w:szCs w:val="22"/>
                <w:lang w:val="it-IT"/>
              </w:rPr>
            </w:pPr>
            <w:r w:rsidRPr="0081521D">
              <w:rPr>
                <w:lang w:val="it-IT"/>
              </w:rPr>
              <w:t>L’insegnamento della Matematica promuove: lo sviluppo di capacità intuitive e logiche; la capacità di utilizzare procedimenti euristici; la maturazione dei processi di astrazione e di formazione dei concetti; la capacità di ragionare induttivamente e deduttivamente; lo sviluppo delle attitudini analitiche e sintetiche; l’abitudine alla precisione (nel linguaggio e nel metodo di operare); la capacità di ragionamento coerente ed argomentato.</w:t>
            </w:r>
          </w:p>
          <w:p w14:paraId="04116141" w14:textId="77777777" w:rsidR="003A3085" w:rsidRPr="00C7211C" w:rsidRDefault="003A3085" w:rsidP="003A3085">
            <w:pPr>
              <w:rPr>
                <w:lang w:val="it-IT"/>
              </w:rPr>
            </w:pPr>
          </w:p>
        </w:tc>
      </w:tr>
    </w:tbl>
    <w:p w14:paraId="2C08DC7C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AFF5C02" w14:textId="3F5D58B6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C70114" w:rsidRPr="00BB3BC0" w14:paraId="42805480" w14:textId="77777777" w:rsidTr="00532889">
        <w:trPr>
          <w:trHeight w:val="2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49970AA6" w14:textId="77CD57A4" w:rsidR="00C70114" w:rsidRPr="00C7211C" w:rsidRDefault="00C70114" w:rsidP="00532889">
            <w:pPr>
              <w:pStyle w:val="Stiletabella2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472"/>
              </w:tabs>
              <w:ind w:left="576" w:hanging="576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OBIETTIVI TRASVERSALI (competenze di vita e cittadinanza)</w:t>
            </w:r>
          </w:p>
        </w:tc>
      </w:tr>
      <w:tr w:rsidR="00C70114" w:rsidRPr="00BB3BC0" w14:paraId="59310613" w14:textId="77777777" w:rsidTr="00532889">
        <w:trPr>
          <w:trHeight w:val="29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6E2A" w14:textId="77777777" w:rsidR="00C70114" w:rsidRDefault="00C70114" w:rsidP="00532889">
            <w:pPr>
              <w:rPr>
                <w:lang w:val="it-IT"/>
              </w:rPr>
            </w:pPr>
          </w:p>
          <w:p w14:paraId="6730F1DC" w14:textId="20AB4F8C" w:rsidR="003A3085" w:rsidRDefault="00A340E3" w:rsidP="00532889">
            <w:pPr>
              <w:rPr>
                <w:lang w:val="it-IT"/>
              </w:rPr>
            </w:pPr>
            <w:r>
              <w:rPr>
                <w:lang w:val="it-IT"/>
              </w:rPr>
              <w:t>La Matematica dovrebbe contribuire in modo determinante alla formazione delle capacità logico-deduttive e quindi di ragionamento che sono necessari</w:t>
            </w:r>
            <w:r w:rsidR="004B773D">
              <w:rPr>
                <w:lang w:val="it-IT"/>
              </w:rPr>
              <w:t>e</w:t>
            </w:r>
            <w:r>
              <w:rPr>
                <w:lang w:val="it-IT"/>
              </w:rPr>
              <w:t xml:space="preserve"> allo sviluppo di uno spirito critico </w:t>
            </w:r>
            <w:r w:rsidR="004B773D">
              <w:rPr>
                <w:lang w:val="it-IT"/>
              </w:rPr>
              <w:lastRenderedPageBreak/>
              <w:t>fondamentale per la</w:t>
            </w:r>
            <w:r>
              <w:rPr>
                <w:lang w:val="it-IT"/>
              </w:rPr>
              <w:t xml:space="preserve"> formazione sia della persona che del cittadino e</w:t>
            </w:r>
            <w:r w:rsidR="004B773D">
              <w:rPr>
                <w:lang w:val="it-IT"/>
              </w:rPr>
              <w:t xml:space="preserve"> della </w:t>
            </w:r>
            <w:r>
              <w:rPr>
                <w:lang w:val="it-IT"/>
              </w:rPr>
              <w:t>sua relativa autonomia di valutazione e di giudizio. L’analisi dei dati (tabelle e grafici) oltre che dell’attendibilità delle loro fonti, cui in qualche caso si prevede di ricorrere su tematiche trasversali e di educazione civica, possono dare un contributo ulteriore a tali scopi.</w:t>
            </w:r>
          </w:p>
          <w:p w14:paraId="5036964E" w14:textId="77777777" w:rsidR="003A3085" w:rsidRPr="00C7211C" w:rsidRDefault="003A3085" w:rsidP="00532889">
            <w:pPr>
              <w:rPr>
                <w:lang w:val="it-IT"/>
              </w:rPr>
            </w:pPr>
          </w:p>
        </w:tc>
      </w:tr>
    </w:tbl>
    <w:p w14:paraId="4F77FFA4" w14:textId="77777777" w:rsidR="00C70114" w:rsidRDefault="00C70114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179A632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203"/>
        <w:gridCol w:w="775"/>
      </w:tblGrid>
      <w:tr w:rsidR="00676C80" w:rsidRPr="00BB3BC0" w14:paraId="71627219" w14:textId="77777777">
        <w:trPr>
          <w:trHeight w:val="597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2E9B48B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RISULTATI DI APPRENDIMENTO PERSEGUITI</w:t>
            </w:r>
          </w:p>
          <w:p w14:paraId="2ABFECF3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 xml:space="preserve">Dalle Indicazioni Nazionali per i Licei, D.I.n.211, 7/10/2010 </w:t>
            </w:r>
          </w:p>
          <w:p w14:paraId="1FF1DF73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>(selezionare quelli rilevanti per la propria disciplina)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08F5" w14:textId="77777777" w:rsidR="00676C80" w:rsidRPr="00C7211C" w:rsidRDefault="00676C80">
            <w:pPr>
              <w:rPr>
                <w:lang w:val="it-IT"/>
              </w:rPr>
            </w:pPr>
          </w:p>
        </w:tc>
      </w:tr>
      <w:tr w:rsidR="00676C80" w14:paraId="0CB62593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13C7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1.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metodologica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3AC4F" w14:textId="77777777" w:rsidR="00676C80" w:rsidRDefault="00676C80"/>
        </w:tc>
      </w:tr>
      <w:tr w:rsidR="00676C80" w14:paraId="638CC770" w14:textId="77777777">
        <w:trPr>
          <w:trHeight w:val="3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2CC27D5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un metodo di studio autonomo e flessibile, che consenta di condurre ricerche e approfondimenti personali e di continuare in modo efficace i successivi studi superiori e di potersi aggiornare lungo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intero arco della propria vita.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EF65" w14:textId="2C24FDB4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52F5B35B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2ACBF40C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della diversit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metodi utilizzati dai vari ambiti disciplinari ed essere in grado valutare i criteri di affidabilit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risultati in essi raggiunti.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3A76" w14:textId="4AEA34C8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1218BBD9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6EE98E1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compiere le necessarie interconnessioni tra i metodi e i contenuti delle singole discipline.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BC03" w14:textId="7EF3C38D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0B7C90A2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37F1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2.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logico-argomentativa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F6A9" w14:textId="77777777" w:rsidR="00676C80" w:rsidRDefault="00676C80"/>
        </w:tc>
      </w:tr>
      <w:tr w:rsidR="00676C80" w14:paraId="5C4D625F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4528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sostenere una propria tesi e saper ascoltare e valutare criticamente le argomentazioni altrui.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F31C" w14:textId="633B9804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401F6C3A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B141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abitudine a ragionare con rigore logico, ad identificare i problemi e a individuare possibili soluzioni.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BCD1" w14:textId="0EF296CE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16FF7334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BFCB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leggere e interpretare criticamente i contenuti delle diverse forme di comunicazione.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969A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5E8D6299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62E3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3.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linguistica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comunicativa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85DD" w14:textId="77777777" w:rsidR="00676C80" w:rsidRDefault="00676C80"/>
        </w:tc>
      </w:tr>
      <w:tr w:rsidR="00676C80" w14:paraId="25119835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7666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pienamente la lingua italiana e in particolare: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19B3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77374432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2F08FB3A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 xml:space="preserve">a.1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dominare la scrittura in tutti i suoi aspetti, da quelli elementari (ortografia e morfologia) a quelli più avanzati (sintassi complessa, precisione e ricchezza del lessico, anche letterario e specialistico), modulando tali competenze a seconda dei diversi contesti e scopi comunicativi;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AEF9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75AE0EC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1E4025C8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a.2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leggere e comprendere testi complessi di diversa natura, cogliendo le implicazioni e le sfumature di significato proprie di ciascuno di essi, in rapporto con la tipologia e il relativo contesto storico e culturale;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627A0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21308D1E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6F43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a.3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curare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esposizione orale e saperla adeguare ai diversi contesti.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39A7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51B0A06E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EA27C62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Acquisire, in una lingua straniera moderna, strutture, modalit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 competenze comunicative corrispondenti almeno al Livello B2 del Quadro Comune Europeo di Riferimento.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9631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4E8130A4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7282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riconoscere i molteplici rapporti e stabilire raffronti tra la lingua italiana e altre lingue moderne e antiche.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90D6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71985801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F552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utilizzare le tecnologie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informazione e della comunicazione per studiare, fare ricerca, comunicare.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1A49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4E24C42A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175E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4. Area storico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umanistica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7ED7" w14:textId="77777777" w:rsidR="00676C80" w:rsidRDefault="00676C80"/>
        </w:tc>
      </w:tr>
      <w:tr w:rsidR="00676C80" w14:paraId="135DCDE0" w14:textId="77777777">
        <w:trPr>
          <w:trHeight w:val="371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38652BA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i presupposti culturali e la natura delle istituzioni politiche, giuridiche, sociali ed economiche, con riferimento particolare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Italia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Europa, e comprendere i diritti e i doveri che caratterizzano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essere cittadini.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90C0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5EF35E9A" w14:textId="77777777">
        <w:trPr>
          <w:trHeight w:val="371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10AFBFBB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Conoscere, con riferimento agli avvenimenti, ai contesti geografici e ai personaggi più importanti, la storia d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Italia inserita nel contesto europeo e internazionale,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antichit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sino ai giorni nostri.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19A3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48859EC4" w14:textId="77777777">
        <w:trPr>
          <w:trHeight w:val="50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981125D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Utilizzare metodi (prospettiva spaziale, relazioni uomo-ambiente, sintesi regionale), concetti (territorio, regione, localizzazione, scala, diffusione spaziale, mobilit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>à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, relazione, senso del luogo...) e strumenti (carte geografiche, sistemi informativi geografici, immagini, dati statistici, fonti soggettive) della geografia per la lettura dei processi storici e per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analisi della societ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contemporanea.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3A26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069EADE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928B2AC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aspetti fondamentali della cultura e della tradizione letteraria, artistica, filosofica, religiosa italiana ed europea attraverso lo studio delle opere, degli autori e delle correnti di pensiero più significativi e acquisire gli strumenti necessari per confrontarli con altre tradizioni e culture.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58C9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69E5CE22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A6403F0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 significato culturale del patrimonio archeologico, architettonico e artistico italiano, della sua importanza come fondamentale risorsa economica, della necessit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preservarlo attraverso gli strumenti della tutela e della conservazione.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FE5B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4236B882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021EFD4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Collocare il pensiero scientifico, la storia delle sue scoperte e lo sviluppo delle invenzioni tecnologiche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ambito più vasto della storia delle idee.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A6D10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594487E0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27D2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g.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fruire delle espressioni creative delle arti e dei mezzi espressivi, compresi lo spettacolo, la musica, le arti visive.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7FE6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2794830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76D0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h.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elementi essenziali e distintivi della cultura e della civilt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paesi di cui si studiano le lingue.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EC9E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:rsidRPr="00BB3BC0" w14:paraId="4006F82C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044D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lastRenderedPageBreak/>
              <w:t>5. Area scientifica, matematica e tecnologica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AD8F" w14:textId="77777777" w:rsidR="00676C80" w:rsidRPr="00C7211C" w:rsidRDefault="00676C80">
            <w:pPr>
              <w:rPr>
                <w:lang w:val="it-IT"/>
              </w:rPr>
            </w:pPr>
          </w:p>
        </w:tc>
      </w:tr>
      <w:tr w:rsidR="00676C80" w14:paraId="4989CB49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66B8F29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il linguaggio formale specifico della matematica, saper utilizzare le procedure tipiche del pensiero matematico, conoscere i contenuti fondamentali delle teorie che sono alla base della descrizione matematica della realt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>à.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0417" w14:textId="50FCAFFA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0D596A97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6487CB2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i contenuti fondamentali delle scienze fisiche e delle scienze naturali (chimica, biologia, scienze della terra, astronomia), padroneggiandone le procedure e i metodi di indagine propri, anche per potersi orientare nel campo delle scienze applicate.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95F3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206883FE" w14:textId="77777777">
        <w:trPr>
          <w:trHeight w:val="3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A5AD821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utilizzare criticamente strumenti informatici e telematici nelle attivit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di studio e di approfondimento; comprendere la valenza metodologica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informatica nella formalizzazione e modellizzazione dei processi complessi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individuazione di procedimenti risolutivi.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4972" w14:textId="5727C911" w:rsidR="00676C80" w:rsidRDefault="00A340E3">
            <w:pPr>
              <w:pStyle w:val="Stiletabella2A"/>
              <w:tabs>
                <w:tab w:val="center" w:pos="4819"/>
                <w:tab w:val="right" w:pos="9638"/>
              </w:tabs>
            </w:pPr>
            <w:r w:rsidRPr="00F75F2E">
              <w:rPr>
                <w:rFonts w:ascii="MS Gothic" w:eastAsia="MS Gothic" w:hAnsi="MS Gothic"/>
                <w:sz w:val="18"/>
                <w:szCs w:val="18"/>
                <w:highlight w:val="black"/>
              </w:rPr>
              <w:t>☐</w:t>
            </w:r>
          </w:p>
        </w:tc>
      </w:tr>
      <w:tr w:rsidR="00676C80" w14:paraId="25371374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5820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6. 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artistica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ADF2" w14:textId="77777777" w:rsidR="00676C80" w:rsidRDefault="00676C80"/>
        </w:tc>
      </w:tr>
      <w:tr w:rsidR="00676C80" w14:paraId="5D45D307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CF20A41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gestire, in maniera autonoma, i processi progettuali e operativi, individuando, sia nell'analisi, sia nella propria produzione, gli aspetti estetici, concettuali, espressivi, comunicativi, funzionali e conservativi.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3388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744D625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ABD9FAA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saper impiegare in modo appropriato le diverse tecniche e tecnologie, gli strumenti e i materiali più diffusi e i metodi della rappresentazione.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1AB8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EBF95FB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6D7FFFC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e applicare i principi e le regole della composizione e le teorie essenziali della percezione visiva.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6FBD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2F74B5EE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6E97C5F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consapevole dei fondamenti culturali, teorici, tecnici e storico-stilistici che interagiscono con il proprio processo creativo.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3F93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2DEFAA16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2B7448E6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possedere, in funzione delle esigenze progettuali, espositive e di comunicazione del proprio operato, competenze adeguate nell'uso del disegno geometrico, dei mezzi multimediali, digitali e delle nuove tecnologie.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6670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356734CD" w14:textId="77777777">
        <w:trPr>
          <w:trHeight w:val="47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E5CC7D6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le tecniche grafiche, grafico-geometriche e compositive e di gestire l'iter progettuale dallo studio del tema, alla realizzazione dell'opera in scala o al vero, passando dagli schizzi preliminari, ai disegni tecnici definitivi, ai sistemi di rappresentazione prospettica (intuitiva e geometrica), al modello tridimensionale, bozzetto, modello fino alle tecniche espositive.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3F46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58D36825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642E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7. 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musicale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0C08" w14:textId="77777777" w:rsidR="00676C80" w:rsidRDefault="00676C80"/>
        </w:tc>
      </w:tr>
      <w:tr w:rsidR="00676C80" w14:paraId="6B2DFDB5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14F3A18" w14:textId="77777777" w:rsidR="00676C80" w:rsidRPr="00C7211C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capacit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esecutive ed interpretative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7EB7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642B5188" w14:textId="77777777">
        <w:trPr>
          <w:trHeight w:val="319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E6AF0AE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 xml:space="preserve">b.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padronanza tecnica, espressiva ed interpretativa dello strumento che consentano l'esecuzione del repertorio in modo personale e coerente e contestualizzato a livello storico e stilistico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1AA7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11C15582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CE3B894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 xml:space="preserve">c.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Acquisire capacit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suonare in pubblico (performance), e capacit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autovalutazione critica e consapevole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EE5D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4ADA5ED3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0FA091C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adeguata capacit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interazione con il gruppo durante la partecipazione ad insiemi vocali e strumentali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4971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2595AEE1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6749846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 xml:space="preserve">e.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competenze adeguate nell'uso delle principali tecnologie informatiche per l'elaborazione dell'audio digitale anche in chiave multimediale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2842E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2A33866C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A62C33A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 xml:space="preserve">f.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conoscere i principi basilari relativi dell'evoluzione storico-estetica della musica concreta, elettronica e informatico-digitale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91F0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8CC4073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15B895BC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4"/>
                <w:szCs w:val="14"/>
                <w:lang w:val="it-IT"/>
              </w:rPr>
              <w:t xml:space="preserve">g.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riconoscere e comprendere i principi e le strutture delle forme musicali e saperle collocare a livello storico </w:t>
            </w:r>
            <w:r w:rsidRPr="00C7211C">
              <w:rPr>
                <w:rFonts w:ascii="Times New Roman" w:hAnsi="Times New Roman"/>
                <w:sz w:val="14"/>
                <w:szCs w:val="14"/>
                <w:lang w:val="it-IT"/>
              </w:rPr>
              <w:t>– estetico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FF1F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7F7183B" w14:textId="77777777">
        <w:trPr>
          <w:trHeight w:val="24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1ED13CBE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h.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fr-FR"/>
              </w:rPr>
              <w:t>compositive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0B01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676C80" w14:paraId="0ACD7B58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545E" w14:textId="77777777" w:rsidR="00676C80" w:rsidRDefault="00C70114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ALTRI EVENTUALI OBIETTIVI PERSEGUITI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782F" w14:textId="77777777" w:rsidR="00676C80" w:rsidRDefault="00676C80"/>
        </w:tc>
      </w:tr>
      <w:tr w:rsidR="00676C80" w14:paraId="3D62E7EA" w14:textId="77777777">
        <w:trPr>
          <w:trHeight w:val="295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9166" w14:textId="77777777" w:rsidR="00676C80" w:rsidRDefault="00676C80"/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B2E6" w14:textId="77777777" w:rsidR="00676C80" w:rsidRDefault="00676C80"/>
        </w:tc>
      </w:tr>
    </w:tbl>
    <w:p w14:paraId="1667C4FE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25FCF49B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44097DA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000"/>
      </w:tblGrid>
      <w:tr w:rsidR="00676C80" w14:paraId="5E66E9E8" w14:textId="77777777">
        <w:trPr>
          <w:trHeight w:val="245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6D0E7337" w14:textId="77777777" w:rsidR="00676C80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SCANSIONE DEI CONTENUTI</w:t>
            </w:r>
          </w:p>
        </w:tc>
      </w:tr>
      <w:tr w:rsidR="00D83E98" w:rsidRPr="00BB3BC0" w14:paraId="0080A173" w14:textId="77777777">
        <w:trPr>
          <w:trHeight w:val="245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F728" w14:textId="77777777" w:rsidR="00D83E98" w:rsidRPr="00405133" w:rsidRDefault="00D83E98" w:rsidP="00D83E98">
            <w:pPr>
              <w:spacing w:line="100" w:lineRule="atLeast"/>
              <w:jc w:val="both"/>
            </w:pPr>
          </w:p>
          <w:p w14:paraId="5B64BD2E" w14:textId="77777777" w:rsidR="00D83E98" w:rsidRPr="003670AC" w:rsidRDefault="00D83E98" w:rsidP="00D83E98">
            <w:pPr>
              <w:spacing w:line="100" w:lineRule="atLeast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1° </w:t>
            </w:r>
            <w:proofErr w:type="spellStart"/>
            <w:r w:rsidRPr="003670AC">
              <w:rPr>
                <w:u w:val="single"/>
              </w:rPr>
              <w:t>quadrimestre</w:t>
            </w:r>
            <w:proofErr w:type="spellEnd"/>
            <w:r w:rsidRPr="003670AC">
              <w:rPr>
                <w:u w:val="single"/>
              </w:rPr>
              <w:t>:</w:t>
            </w:r>
          </w:p>
          <w:p w14:paraId="42BA6D18" w14:textId="096F6299" w:rsidR="00D83E98" w:rsidRDefault="00D83E98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>
              <w:t>Breve r</w:t>
            </w:r>
            <w:r w:rsidRPr="00405133">
              <w:t>ipasso di equazioni, disequazioni e sistemi di equazioni lineari</w:t>
            </w:r>
            <w:r>
              <w:t xml:space="preserve"> e dello studio del segno di un prodotto e di una frazione</w:t>
            </w:r>
            <w:r w:rsidRPr="00405133">
              <w:t>.</w:t>
            </w:r>
            <w:r>
              <w:t xml:space="preserve"> </w:t>
            </w:r>
          </w:p>
          <w:p w14:paraId="04F81454" w14:textId="19E7E169" w:rsidR="00D83E98" w:rsidRPr="00405133" w:rsidRDefault="00D83E98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>
              <w:t>Introduzione alle equazioni di secondo grado, a partire dapprima da esempi risolubili mediante scomposizione (equazioni ridotte pure, spurie e monomie con le relative formule), poi mediante equazioni che richiedono lo sviluppo di “nuova” teoria. Dimostrazione teorica della formula risolutiva delle equazioni di secondo grado (per gli amici: “la formula d’oro”</w:t>
            </w:r>
            <w:r w:rsidRPr="007E13FC">
              <w:rPr>
                <w:rFonts w:ascii="Segoe UI Emoji" w:hAnsi="Segoe UI Emoji" w:cs="Segoe UI Emoji"/>
              </w:rPr>
              <w:t>)</w:t>
            </w:r>
            <w:r>
              <w:t>. Applicazione delle equazioni di secondo grado per la risoluzione di semplici problemi. Condizioni di esistenza di una equazione fratta, minimo comune denominatore e risoluzione di una equazione fratta.</w:t>
            </w:r>
          </w:p>
          <w:p w14:paraId="3C308F7E" w14:textId="37B02FE7" w:rsidR="00D83E98" w:rsidRDefault="00D83E98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 w:rsidRPr="00405133">
              <w:lastRenderedPageBreak/>
              <w:t xml:space="preserve">Le </w:t>
            </w:r>
            <w:r>
              <w:t>coniche</w:t>
            </w:r>
            <w:r w:rsidRPr="00405133">
              <w:t>:</w:t>
            </w:r>
            <w:r>
              <w:t xml:space="preserve"> introduzione.</w:t>
            </w:r>
            <w:r w:rsidRPr="00405133">
              <w:t xml:space="preserve"> </w:t>
            </w:r>
            <w:r>
              <w:t>La</w:t>
            </w:r>
            <w:r w:rsidRPr="00405133">
              <w:t xml:space="preserve"> parabol</w:t>
            </w:r>
            <w:r>
              <w:t>a</w:t>
            </w:r>
            <w:r w:rsidRPr="00405133">
              <w:t xml:space="preserve">. </w:t>
            </w:r>
            <w:r>
              <w:t>Rappresentazione di una parabola per punti a partire dalla parabola fondamentale (y=</w:t>
            </w:r>
            <w:r w:rsidRPr="00F74DDF">
              <w:t>x</w:t>
            </w:r>
            <w:r>
              <w:rPr>
                <w:vertAlign w:val="superscript"/>
              </w:rPr>
              <w:t>2</w:t>
            </w:r>
            <w:r>
              <w:t>). Prime caratteristiche di alcune parabole (positività e negatività; apertura maggiore o minore; passaggio per l’origine; ecc.). Definizione intuitiva di coniche e definizione rigorosa della parabola. Equazione della parabola generica. Formule del v</w:t>
            </w:r>
            <w:r w:rsidRPr="00F74DDF">
              <w:t>ertice</w:t>
            </w:r>
            <w:r>
              <w:t>, del fuoco, dell’asse e della direttrice di una parabola. I</w:t>
            </w:r>
            <w:r w:rsidRPr="00405133">
              <w:t xml:space="preserve">ntersezioni </w:t>
            </w:r>
            <w:r>
              <w:t xml:space="preserve">di una parabola </w:t>
            </w:r>
            <w:r w:rsidRPr="00405133">
              <w:t>con gli assi</w:t>
            </w:r>
            <w:r>
              <w:t xml:space="preserve"> cartesiani e </w:t>
            </w:r>
            <w:r w:rsidRPr="00405133">
              <w:t>con una retta</w:t>
            </w:r>
            <w:r>
              <w:t xml:space="preserve"> qualsiasi</w:t>
            </w:r>
            <w:r w:rsidRPr="00405133">
              <w:t xml:space="preserve">. Equazione di una parabola per 3 punti. </w:t>
            </w:r>
            <w:r>
              <w:t>Studio del segno di una parabola per introdurre le disequazioni di secondo grado.</w:t>
            </w:r>
          </w:p>
          <w:p w14:paraId="2DFD985C" w14:textId="77777777" w:rsidR="00D83E98" w:rsidRPr="00405133" w:rsidRDefault="00D83E98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>
              <w:t xml:space="preserve">Ripasso delle disequazioni di primo grado. Disequazioni di secondo grado: metodo intuitivo mediante la parabola e l’asse </w:t>
            </w:r>
            <w:r w:rsidRPr="009904B8">
              <w:rPr>
                <w:i/>
              </w:rPr>
              <w:t>x</w:t>
            </w:r>
            <w:r>
              <w:rPr>
                <w:i/>
              </w:rPr>
              <w:t xml:space="preserve"> </w:t>
            </w:r>
            <w:r>
              <w:t xml:space="preserve">e schema risolutivo completo con le sei caselle (compresi i casi con disuguaglianza stretta o larga </w:t>
            </w:r>
          </w:p>
          <w:p w14:paraId="606A4071" w14:textId="77777777" w:rsidR="00D83E98" w:rsidRPr="00D83E98" w:rsidRDefault="00D83E98" w:rsidP="00D83E98">
            <w:pPr>
              <w:spacing w:line="100" w:lineRule="atLeast"/>
              <w:jc w:val="both"/>
              <w:rPr>
                <w:lang w:val="it-IT"/>
              </w:rPr>
            </w:pPr>
          </w:p>
          <w:p w14:paraId="67372B48" w14:textId="77777777" w:rsidR="00D83E98" w:rsidRPr="003670AC" w:rsidRDefault="00D83E98" w:rsidP="00D83E98">
            <w:pPr>
              <w:spacing w:line="100" w:lineRule="atLeast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2° </w:t>
            </w:r>
            <w:proofErr w:type="spellStart"/>
            <w:r w:rsidRPr="003670AC">
              <w:rPr>
                <w:u w:val="single"/>
              </w:rPr>
              <w:t>quadrimestre</w:t>
            </w:r>
            <w:proofErr w:type="spellEnd"/>
            <w:r w:rsidRPr="003670AC">
              <w:rPr>
                <w:u w:val="single"/>
              </w:rPr>
              <w:t>:</w:t>
            </w:r>
          </w:p>
          <w:p w14:paraId="188743BC" w14:textId="6A03B004" w:rsidR="003217BC" w:rsidRDefault="003217BC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 w:rsidRPr="00405133">
              <w:t xml:space="preserve">Studio delle coniche: </w:t>
            </w:r>
            <w:r>
              <w:t xml:space="preserve">la </w:t>
            </w:r>
            <w:r w:rsidRPr="00405133">
              <w:t>circonferenza</w:t>
            </w:r>
            <w:r>
              <w:t>. Definizione geometrica ed analitica della circonferenza come luogo di punti del piano cartesiano. Coordinate del centro e determinazione del raggio di una circonferenza di equazione data; determinazione dell’equazione di una circonferenza dati il suo centro ed il suo raggio; intersezione di una circonferenza con gli assi e con una generica retta.</w:t>
            </w:r>
          </w:p>
          <w:p w14:paraId="688C9F4C" w14:textId="77777777" w:rsidR="003217BC" w:rsidRPr="00405133" w:rsidRDefault="003217BC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 w:rsidRPr="00405133">
              <w:t xml:space="preserve">Le </w:t>
            </w:r>
            <w:r>
              <w:t xml:space="preserve">iperboli e le </w:t>
            </w:r>
            <w:r w:rsidRPr="00405133">
              <w:t>funzioni</w:t>
            </w:r>
            <w:r>
              <w:t xml:space="preserve"> omografiche. Dominio (o condizioni di esistenza) di una funzione omografica; equazioni degli asintoti; intersezioni di una funzione omografica con gli assi cartesiani e con una retta qualsiasi; grafico di una funzione omografica.</w:t>
            </w:r>
          </w:p>
          <w:p w14:paraId="03FB47E5" w14:textId="3397DFCC" w:rsidR="003217BC" w:rsidRDefault="003217BC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>
              <w:t>EVENTUALMENTE Studio del segno di una funzione omografica per introdurre le disequazioni fratte. Semplici disequazioni fratte e studio del segno di una frazione algebrica.</w:t>
            </w:r>
          </w:p>
          <w:p w14:paraId="537A5A51" w14:textId="77777777" w:rsidR="00D83E98" w:rsidRDefault="003217BC" w:rsidP="003217BC">
            <w:pPr>
              <w:pStyle w:val="Paragrafoelenco"/>
              <w:numPr>
                <w:ilvl w:val="0"/>
                <w:numId w:val="2"/>
              </w:numPr>
              <w:spacing w:line="100" w:lineRule="atLeast"/>
              <w:jc w:val="both"/>
            </w:pPr>
            <w:r>
              <w:t>Le ellissi: definizione ed applicazioni pratiche. Fuochi, vertici, assi, eccentricità di un’ellisse.</w:t>
            </w:r>
          </w:p>
          <w:p w14:paraId="2D285CE6" w14:textId="76110CFF" w:rsidR="003217BC" w:rsidRPr="00BB3BC0" w:rsidRDefault="003217BC" w:rsidP="003217BC">
            <w:pPr>
              <w:spacing w:line="100" w:lineRule="atLeast"/>
              <w:jc w:val="both"/>
              <w:rPr>
                <w:lang w:val="it-IT"/>
              </w:rPr>
            </w:pPr>
          </w:p>
        </w:tc>
      </w:tr>
    </w:tbl>
    <w:p w14:paraId="61BE6D9A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617F88F5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4B60667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676C80" w:rsidRPr="00BB3BC0" w14:paraId="57236C64" w14:textId="77777777">
        <w:trPr>
          <w:trHeight w:val="397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062090BD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MODELLO</w:t>
            </w: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VALUTA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TIVO</w:t>
            </w:r>
          </w:p>
          <w:p w14:paraId="2A5D44C1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 parametri in base ai quali si intende valutare il profitto e, ove necessario, gli obiettivi minimi da raggiungere)</w:t>
            </w:r>
          </w:p>
        </w:tc>
      </w:tr>
      <w:tr w:rsidR="00A340E3" w:rsidRPr="00BB3BC0" w14:paraId="3AFB933E" w14:textId="77777777">
        <w:trPr>
          <w:trHeight w:val="245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2290" w14:textId="77777777" w:rsidR="00A340E3" w:rsidRPr="00B156CD" w:rsidRDefault="00A340E3" w:rsidP="00A340E3">
            <w:pPr>
              <w:jc w:val="both"/>
              <w:rPr>
                <w:rFonts w:cs="Courier New"/>
                <w:w w:val="89"/>
                <w:lang w:val="it-IT"/>
              </w:rPr>
            </w:pPr>
          </w:p>
          <w:p w14:paraId="5F87B7BE" w14:textId="77777777" w:rsidR="00A340E3" w:rsidRPr="008314DF" w:rsidRDefault="00A340E3" w:rsidP="00A340E3">
            <w:pPr>
              <w:jc w:val="both"/>
              <w:rPr>
                <w:bCs/>
                <w:lang w:val="it-IT"/>
              </w:rPr>
            </w:pPr>
            <w:r w:rsidRPr="008314DF">
              <w:rPr>
                <w:bCs/>
                <w:lang w:val="it-IT"/>
              </w:rPr>
              <w:t xml:space="preserve">Per numero e tipologie delle prove, si veda il punto </w:t>
            </w:r>
            <w:r>
              <w:rPr>
                <w:bCs/>
                <w:lang w:val="it-IT"/>
              </w:rPr>
              <w:t>successivo</w:t>
            </w:r>
            <w:r w:rsidRPr="008314DF">
              <w:rPr>
                <w:bCs/>
                <w:lang w:val="it-IT"/>
              </w:rPr>
              <w:t xml:space="preserve"> (“Verifiche”) </w:t>
            </w:r>
          </w:p>
          <w:p w14:paraId="74A0CE29" w14:textId="77777777" w:rsidR="00A340E3" w:rsidRPr="008314DF" w:rsidRDefault="00A340E3" w:rsidP="00A340E3">
            <w:pPr>
              <w:jc w:val="both"/>
              <w:rPr>
                <w:bCs/>
                <w:lang w:val="it-IT"/>
              </w:rPr>
            </w:pPr>
            <w:r w:rsidRPr="008314DF">
              <w:rPr>
                <w:bCs/>
                <w:lang w:val="it-IT"/>
              </w:rPr>
              <w:t>Per i criteri e la griglia di valutazione, si rimanda a quelli condivisi dal Consiglio di Classe espressi nel Piano di lavoro della Classe.</w:t>
            </w:r>
          </w:p>
          <w:p w14:paraId="05020EB9" w14:textId="219DFB5C" w:rsidR="00A340E3" w:rsidRPr="002E308E" w:rsidRDefault="00A340E3" w:rsidP="00A340E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lang w:val="it-IT"/>
              </w:rPr>
            </w:pPr>
          </w:p>
        </w:tc>
      </w:tr>
    </w:tbl>
    <w:p w14:paraId="604C88AA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7323C51C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E4DBDD4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676C80" w:rsidRPr="00BB3BC0" w14:paraId="50AC475C" w14:textId="77777777">
        <w:trPr>
          <w:trHeight w:val="445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47785531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TIPOLOGIA DI </w:t>
            </w: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VERIFICHE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PREVISTE</w:t>
            </w:r>
          </w:p>
          <w:p w14:paraId="6E691735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il numero e la tipologia delle verifiche che si prevede di svolgere durante l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anno)</w:t>
            </w:r>
          </w:p>
        </w:tc>
      </w:tr>
      <w:tr w:rsidR="00A340E3" w:rsidRPr="00BB3BC0" w14:paraId="6B28B50A" w14:textId="77777777">
        <w:trPr>
          <w:trHeight w:val="245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3FC5" w14:textId="77777777" w:rsidR="00A340E3" w:rsidRPr="00B156CD" w:rsidRDefault="00A340E3" w:rsidP="00A340E3">
            <w:pPr>
              <w:rPr>
                <w:rFonts w:cs="Courier New"/>
                <w:b/>
                <w:bCs/>
                <w:w w:val="89"/>
                <w:lang w:val="it-IT"/>
              </w:rPr>
            </w:pPr>
          </w:p>
          <w:p w14:paraId="1F55226A" w14:textId="77777777" w:rsidR="00A340E3" w:rsidRDefault="00A340E3" w:rsidP="00A340E3">
            <w:pPr>
              <w:rPr>
                <w:bCs/>
                <w:lang w:val="it-IT"/>
              </w:rPr>
            </w:pPr>
            <w:r w:rsidRPr="008314DF">
              <w:rPr>
                <w:bCs/>
                <w:lang w:val="it-IT"/>
              </w:rPr>
              <w:t xml:space="preserve">Si prevedono almeno 4 verifiche durante l’anno, tutte scritte, di cui almeno 2 in ciascun quadrimestre. </w:t>
            </w:r>
            <w:r>
              <w:rPr>
                <w:bCs/>
                <w:lang w:val="it-IT"/>
              </w:rPr>
              <w:t xml:space="preserve">Il recupero di valutazioni insufficienti avverrà con prove scritte ridotte in lunghezza e difficoltà, cioè tarate sul 6,5 come voto massimo e con scelta del voto migliore nel calcolo della media finale dei voti. </w:t>
            </w:r>
            <w:r w:rsidRPr="008314DF">
              <w:rPr>
                <w:bCs/>
                <w:lang w:val="it-IT"/>
              </w:rPr>
              <w:t xml:space="preserve">Non saranno adottate delle vere e proprie verifiche orali, ma si trarranno indicazioni di voto per l’orale dalla partecipazione e dalle risposte in classe, così come dagli interventi alla lavagna e dal lavoro svolto a casa. </w:t>
            </w:r>
          </w:p>
          <w:p w14:paraId="7C3A7F0B" w14:textId="73040415" w:rsidR="00A340E3" w:rsidRPr="002E308E" w:rsidRDefault="00A340E3" w:rsidP="00A340E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lang w:val="it-IT"/>
              </w:rPr>
            </w:pPr>
          </w:p>
        </w:tc>
      </w:tr>
    </w:tbl>
    <w:p w14:paraId="13B63E24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517AA825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69916EB4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676C80" w:rsidRPr="00BB3BC0" w14:paraId="346691DC" w14:textId="77777777">
        <w:trPr>
          <w:trHeight w:val="397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0B50D260" w14:textId="7D2560BC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METODI STRUMENTI, MATERIALI</w:t>
            </w:r>
          </w:p>
          <w:p w14:paraId="36A35E54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metodologie e strumenti che si intendono adottare)</w:t>
            </w:r>
          </w:p>
        </w:tc>
      </w:tr>
      <w:tr w:rsidR="00A340E3" w:rsidRPr="00BB3BC0" w14:paraId="53C5F7E2" w14:textId="77777777">
        <w:trPr>
          <w:trHeight w:val="245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DFD0" w14:textId="77777777" w:rsidR="00A340E3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</w:p>
          <w:p w14:paraId="74A01EE1" w14:textId="77777777" w:rsidR="00A340E3" w:rsidRPr="005E70E4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  <w:r w:rsidRPr="005E70E4">
              <w:rPr>
                <w:lang w:val="it-IT"/>
              </w:rPr>
              <w:t xml:space="preserve">Si utilizzerà, in prevalenza, la lezione dialogata la quale, attraverso la collaborazione degli alunni, condurrà la classe alla comprensione dei concetti, dei procedimenti e dei ragionamenti di base dei vari argomenti della Matematica. </w:t>
            </w:r>
          </w:p>
          <w:p w14:paraId="3DCD824B" w14:textId="77777777" w:rsidR="00A340E3" w:rsidRPr="005E70E4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  <w:r w:rsidRPr="005E70E4">
              <w:rPr>
                <w:lang w:val="it-IT"/>
              </w:rPr>
              <w:t>Si costruiranno, sempre con dinamica dialogica, schemi di riferimento per ragionamenti, procedure di risoluzione e di calcolo, e di teoria.</w:t>
            </w:r>
          </w:p>
          <w:p w14:paraId="100C4819" w14:textId="77777777" w:rsidR="00A340E3" w:rsidRPr="005E70E4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  <w:r w:rsidRPr="005E70E4">
              <w:rPr>
                <w:lang w:val="it-IT"/>
              </w:rPr>
              <w:t>Si effettuerà la correzione prioritariamente degli esercizi non riusciti alla gran parte degli studenti.</w:t>
            </w:r>
          </w:p>
          <w:p w14:paraId="42369A2F" w14:textId="515D6761" w:rsidR="00A340E3" w:rsidRPr="005E70E4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  <w:r w:rsidRPr="005E70E4">
              <w:rPr>
                <w:lang w:val="it-IT"/>
              </w:rPr>
              <w:t xml:space="preserve">I controlli dello svolgimento dei compiti per casa saranno via via più diradati, in un’ottica di autonomia </w:t>
            </w:r>
            <w:r>
              <w:rPr>
                <w:lang w:val="it-IT"/>
              </w:rPr>
              <w:t>nell’organizzazione dello</w:t>
            </w:r>
            <w:r w:rsidRPr="005E70E4">
              <w:rPr>
                <w:lang w:val="it-IT"/>
              </w:rPr>
              <w:t xml:space="preserve"> studio </w:t>
            </w:r>
            <w:r>
              <w:rPr>
                <w:lang w:val="it-IT"/>
              </w:rPr>
              <w:t xml:space="preserve">da parte </w:t>
            </w:r>
            <w:r w:rsidRPr="005E70E4">
              <w:rPr>
                <w:lang w:val="it-IT"/>
              </w:rPr>
              <w:t>degli studenti e di una loro responsabilizzazione verso il proprio percorso di apprendimento.</w:t>
            </w:r>
          </w:p>
          <w:p w14:paraId="43C5D245" w14:textId="77777777" w:rsidR="00A340E3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  <w:r w:rsidRPr="005E70E4">
              <w:rPr>
                <w:lang w:val="it-IT"/>
              </w:rPr>
              <w:t xml:space="preserve">Quando possibile, all’inizio della lezione si potranno rivolgere agli alunni domande di calcolo mentale o di ripasso di nozioni/procedimenti sviluppate in lezione/i precedente/i. </w:t>
            </w:r>
          </w:p>
          <w:p w14:paraId="62789767" w14:textId="7B4296A0" w:rsidR="004B773D" w:rsidRPr="005E70E4" w:rsidRDefault="004B773D" w:rsidP="00A340E3">
            <w:pPr>
              <w:spacing w:line="100" w:lineRule="atLeast"/>
              <w:jc w:val="both"/>
              <w:rPr>
                <w:lang w:val="it-IT"/>
              </w:rPr>
            </w:pPr>
            <w:r>
              <w:rPr>
                <w:lang w:val="it-IT"/>
              </w:rPr>
              <w:t>Per gli alunni assenti, ma anche per gli alunni con DSA e comunque con difficoltà a seguire le spiegazioni dialogate e scrivere contemporaneamente, verranno fatte foto di tutte le lavagne prodotte in classe (spiegazioni, esempi, esercizi, problemi, schemi, ecc.) e verranno spedite nel gruppo chat della classe.</w:t>
            </w:r>
          </w:p>
          <w:p w14:paraId="172068B3" w14:textId="4C84D958" w:rsidR="00A340E3" w:rsidRPr="005E70E4" w:rsidRDefault="00A340E3" w:rsidP="00A340E3">
            <w:pPr>
              <w:spacing w:line="100" w:lineRule="atLeast"/>
              <w:jc w:val="both"/>
              <w:rPr>
                <w:lang w:val="it-IT"/>
              </w:rPr>
            </w:pPr>
            <w:r w:rsidRPr="005E70E4">
              <w:rPr>
                <w:lang w:val="it-IT"/>
              </w:rPr>
              <w:t xml:space="preserve">Per far conoscere l’aspetto ludico della matematica, o comunque far apprezzare una valenza </w:t>
            </w:r>
            <w:r>
              <w:rPr>
                <w:lang w:val="it-IT"/>
              </w:rPr>
              <w:t xml:space="preserve">di questa materia che sia </w:t>
            </w:r>
            <w:r w:rsidRPr="005E70E4">
              <w:rPr>
                <w:lang w:val="it-IT"/>
              </w:rPr>
              <w:t>diversa da quella più usuale legata allo svolgimento dei programmi, gli alunni interessati parteciperanno a</w:t>
            </w:r>
            <w:r>
              <w:rPr>
                <w:lang w:val="it-IT"/>
              </w:rPr>
              <w:t>lle</w:t>
            </w:r>
            <w:r w:rsidRPr="005E70E4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gare individuali dei </w:t>
            </w:r>
            <w:r w:rsidRPr="005E70E4">
              <w:rPr>
                <w:lang w:val="it-IT"/>
              </w:rPr>
              <w:t>Giochi di Archimede (</w:t>
            </w:r>
            <w:r>
              <w:rPr>
                <w:lang w:val="it-IT"/>
              </w:rPr>
              <w:t xml:space="preserve">28 </w:t>
            </w:r>
            <w:r w:rsidRPr="005E70E4">
              <w:rPr>
                <w:lang w:val="it-IT"/>
              </w:rPr>
              <w:t>Novembre)</w:t>
            </w:r>
            <w:r>
              <w:rPr>
                <w:lang w:val="it-IT"/>
              </w:rPr>
              <w:t>, e tutta la classe parteciperà alla</w:t>
            </w:r>
            <w:r w:rsidRPr="005E70E4">
              <w:rPr>
                <w:lang w:val="it-IT"/>
              </w:rPr>
              <w:t xml:space="preserve"> </w:t>
            </w:r>
            <w:r>
              <w:rPr>
                <w:lang w:val="it-IT"/>
              </w:rPr>
              <w:t>gara di gruppo classe “Matematica senza frontiere” (</w:t>
            </w:r>
            <w:r w:rsidR="00681CCF">
              <w:rPr>
                <w:lang w:val="it-IT"/>
              </w:rPr>
              <w:t xml:space="preserve">a </w:t>
            </w:r>
            <w:proofErr w:type="gramStart"/>
            <w:r>
              <w:rPr>
                <w:lang w:val="it-IT"/>
              </w:rPr>
              <w:t>Febbraio</w:t>
            </w:r>
            <w:proofErr w:type="gramEnd"/>
            <w:r w:rsidRPr="005E70E4">
              <w:rPr>
                <w:lang w:val="it-IT"/>
              </w:rPr>
              <w:t>.</w:t>
            </w:r>
          </w:p>
          <w:p w14:paraId="5DF67A7D" w14:textId="1719D014" w:rsidR="00A340E3" w:rsidRPr="002E308E" w:rsidRDefault="00A340E3" w:rsidP="00A340E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  <w:rPr>
                <w:lang w:val="it-IT"/>
              </w:rPr>
            </w:pPr>
          </w:p>
        </w:tc>
      </w:tr>
    </w:tbl>
    <w:p w14:paraId="6CC37736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1C131DA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0BA24CF1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000"/>
      </w:tblGrid>
      <w:tr w:rsidR="00676C80" w:rsidRPr="00BB3BC0" w14:paraId="65DA7A60" w14:textId="77777777">
        <w:trPr>
          <w:trHeight w:val="245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6C6E7DBC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  <w:rPr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CURRICOLO DI EDUCAZIONE CIVICA/ORIENTAMENTO</w:t>
            </w:r>
          </w:p>
        </w:tc>
      </w:tr>
      <w:tr w:rsidR="00BB3BC0" w:rsidRPr="00BB3BC0" w14:paraId="49C491D3" w14:textId="77777777">
        <w:trPr>
          <w:trHeight w:val="245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0D6DCF31" w14:textId="77777777" w:rsidR="00BB3BC0" w:rsidRPr="004B773D" w:rsidRDefault="00BB3BC0" w:rsidP="00BB3BC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B77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Periodo: secondo quadrimestre</w:t>
            </w:r>
          </w:p>
          <w:p w14:paraId="48B24C83" w14:textId="77777777" w:rsidR="00BB3BC0" w:rsidRPr="004B773D" w:rsidRDefault="00BB3BC0" w:rsidP="00BB3BC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B77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Contenuti: sulla base del progetto ESCAC “Le energie rinnovabili del territorio” (si veda punto successivo e finale di questo piano di lavoro), gli alunni potranno sviluppare analisi di dati sulla produzione energetica del nostro Paese e di confronto con quella di altri Paesi del mondo, fra cui la Tanzania. Questo sarà il contributo al tema d’Istituto del ponte fra le culture e Tanzania deciso dal </w:t>
            </w:r>
            <w:proofErr w:type="spellStart"/>
            <w:r w:rsidRPr="004B77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Cdc</w:t>
            </w:r>
            <w:proofErr w:type="spellEnd"/>
            <w:r w:rsidRPr="004B77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7B2E22E4" w14:textId="77777777" w:rsidR="00BB3BC0" w:rsidRPr="004B773D" w:rsidRDefault="00BB3BC0" w:rsidP="00BB3BC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9959011" w14:textId="77777777" w:rsidR="00BB3BC0" w:rsidRPr="004B773D" w:rsidRDefault="00BB3BC0" w:rsidP="00BB3BC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151B2798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4DCAA0D3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18897BD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676C80" w:rsidRPr="00BB3BC0" w14:paraId="3BD98409" w14:textId="77777777">
        <w:trPr>
          <w:trHeight w:val="494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2CBE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7211C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ATTIVITÀ DI AMPLIAMENTO DEL CURRICOLO</w:t>
            </w:r>
          </w:p>
          <w:p w14:paraId="3FEB2AE6" w14:textId="77777777" w:rsidR="00676C80" w:rsidRPr="00C7211C" w:rsidRDefault="00C701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lang w:val="it-IT"/>
              </w:rPr>
            </w:pPr>
            <w:r w:rsidRPr="00C7211C">
              <w:rPr>
                <w:rFonts w:ascii="Times New Roman" w:hAnsi="Times New Roman"/>
                <w:sz w:val="25"/>
                <w:szCs w:val="25"/>
                <w:lang w:val="it-IT"/>
              </w:rPr>
              <w:t>(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Elencare progetti, viaggi d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istruzione, visite guidate ed altre iniziative programmate per la classe)</w:t>
            </w:r>
          </w:p>
        </w:tc>
      </w:tr>
      <w:tr w:rsidR="00676C80" w:rsidRPr="00BB3BC0" w14:paraId="18730C97" w14:textId="77777777">
        <w:trPr>
          <w:trHeight w:val="245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8D49" w14:textId="77777777" w:rsidR="00676C80" w:rsidRPr="004B773D" w:rsidRDefault="00676C8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B919554" w14:textId="44FC4B31" w:rsidR="00C7211C" w:rsidRPr="004B773D" w:rsidRDefault="00681CC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B77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progetto ESCAC sulle Energie rinnovabili del territorio e la visita al museo ed alla centrale geotermoelettrica di Radicondoli, e la successiva e relativa analisi dei dati sulla produzione di energia elettrica in particolare da fonti rinnovabili, del nostro Paese e di altri Paesi del mondo, contribuiranno oltre al percorso di educazione civica (ponti fra le culture e focus sulla Tanzania), alla formazione del cittadino.</w:t>
            </w:r>
          </w:p>
          <w:p w14:paraId="5561DC4A" w14:textId="2310D6C5" w:rsidR="00681CCF" w:rsidRPr="004B773D" w:rsidRDefault="00681CC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B77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viaggio d’istruzione a Napoli con la visita della Città della Scienza e del Cono Grande del Vesuvio, contribuiranno ad allargare il bagaglio di conoscenze scientifiche che potrà essere eventualmente ripreso ed approfondito anche da un punto di vista matematico e di analisi dei dati.</w:t>
            </w:r>
          </w:p>
          <w:p w14:paraId="22AB15E1" w14:textId="323BE8C1" w:rsidR="00C7211C" w:rsidRPr="004B773D" w:rsidRDefault="00C7211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10B6CB02" w14:textId="77777777" w:rsidR="00676C80" w:rsidRDefault="00676C80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4F96D083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67CA01B0" w14:textId="77777777" w:rsidR="00676C80" w:rsidRDefault="00676C8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599F8FD4" w14:textId="217EB13A" w:rsidR="00C7211C" w:rsidRPr="00C7211C" w:rsidRDefault="00C70114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hAnsi="Times New Roman"/>
          <w:sz w:val="18"/>
          <w:szCs w:val="18"/>
        </w:rPr>
      </w:pPr>
      <w:bookmarkStart w:id="0" w:name="_Hlk214200560"/>
      <w:r>
        <w:rPr>
          <w:rFonts w:ascii="Times New Roman" w:hAnsi="Times New Roman"/>
          <w:sz w:val="18"/>
          <w:szCs w:val="18"/>
        </w:rPr>
        <w:t>Siena,</w:t>
      </w:r>
      <w:r w:rsidR="00681CCF">
        <w:rPr>
          <w:rFonts w:ascii="Times New Roman" w:hAnsi="Times New Roman"/>
          <w:sz w:val="18"/>
          <w:szCs w:val="18"/>
        </w:rPr>
        <w:t xml:space="preserve"> il 16 Novembre 2025</w:t>
      </w:r>
      <w:r>
        <w:rPr>
          <w:rFonts w:ascii="Times New Roman" w:hAnsi="Times New Roman"/>
          <w:sz w:val="18"/>
          <w:szCs w:val="18"/>
        </w:rPr>
        <w:tab/>
        <w:t>Il Docente</w:t>
      </w:r>
      <w:r w:rsidR="00C7211C">
        <w:rPr>
          <w:rFonts w:ascii="Times New Roman" w:hAnsi="Times New Roman"/>
          <w:sz w:val="18"/>
          <w:szCs w:val="18"/>
        </w:rPr>
        <w:t xml:space="preserve">, </w:t>
      </w:r>
      <w:r w:rsidR="00C7211C" w:rsidRPr="00C7211C">
        <w:rPr>
          <w:rFonts w:ascii="Times New Roman" w:hAnsi="Times New Roman"/>
          <w:i/>
          <w:iCs/>
          <w:sz w:val="18"/>
          <w:szCs w:val="18"/>
        </w:rPr>
        <w:t>Gianmarco Bianchi</w:t>
      </w:r>
      <w:bookmarkEnd w:id="0"/>
    </w:p>
    <w:sectPr w:rsidR="00C7211C" w:rsidRPr="00C7211C">
      <w:headerReference w:type="default" r:id="rId8"/>
      <w:footerReference w:type="default" r:id="rId9"/>
      <w:pgSz w:w="11900" w:h="16840"/>
      <w:pgMar w:top="1418" w:right="964" w:bottom="102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F4783" w14:textId="77777777" w:rsidR="005656F3" w:rsidRDefault="005656F3">
      <w:r>
        <w:separator/>
      </w:r>
    </w:p>
  </w:endnote>
  <w:endnote w:type="continuationSeparator" w:id="0">
    <w:p w14:paraId="430F3F33" w14:textId="77777777" w:rsidR="005656F3" w:rsidRDefault="0056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C88D" w14:textId="77777777" w:rsidR="00676C80" w:rsidRDefault="00676C80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1F8AB" w14:textId="77777777" w:rsidR="005656F3" w:rsidRDefault="005656F3">
      <w:r>
        <w:separator/>
      </w:r>
    </w:p>
  </w:footnote>
  <w:footnote w:type="continuationSeparator" w:id="0">
    <w:p w14:paraId="61442B9E" w14:textId="77777777" w:rsidR="005656F3" w:rsidRDefault="0056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1207" w14:textId="77777777" w:rsidR="00676C80" w:rsidRDefault="00676C80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8B37DE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872F8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504815">
    <w:abstractNumId w:val="0"/>
  </w:num>
  <w:num w:numId="2" w16cid:durableId="859465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80"/>
    <w:rsid w:val="00217158"/>
    <w:rsid w:val="002E308E"/>
    <w:rsid w:val="002E7FCB"/>
    <w:rsid w:val="00312113"/>
    <w:rsid w:val="003217BC"/>
    <w:rsid w:val="00373138"/>
    <w:rsid w:val="003A3085"/>
    <w:rsid w:val="004B773D"/>
    <w:rsid w:val="00515449"/>
    <w:rsid w:val="005656F3"/>
    <w:rsid w:val="00676C80"/>
    <w:rsid w:val="00681CCF"/>
    <w:rsid w:val="006C3790"/>
    <w:rsid w:val="0075042F"/>
    <w:rsid w:val="008458A0"/>
    <w:rsid w:val="00A340E3"/>
    <w:rsid w:val="00BB3BC0"/>
    <w:rsid w:val="00C70114"/>
    <w:rsid w:val="00C7211C"/>
    <w:rsid w:val="00C73FD4"/>
    <w:rsid w:val="00D7319A"/>
    <w:rsid w:val="00D83E98"/>
    <w:rsid w:val="00E4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A5677"/>
  <w15:docId w15:val="{E24FC8F5-C738-46EA-A56F-8A11881A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aragrafoelenco">
    <w:name w:val="List Paragraph"/>
    <w:basedOn w:val="Normale"/>
    <w:uiPriority w:val="34"/>
    <w:qFormat/>
    <w:rsid w:val="00D83E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  <w:contextualSpacing/>
    </w:pPr>
    <w:rPr>
      <w:rFonts w:eastAsia="Times New Roman"/>
      <w:kern w:val="1"/>
      <w:bdr w:val="none" w:sz="0" w:space="0" w:color="auto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Gianmarco Francoforte</cp:lastModifiedBy>
  <cp:revision>11</cp:revision>
  <dcterms:created xsi:type="dcterms:W3CDTF">2025-11-11T16:44:00Z</dcterms:created>
  <dcterms:modified xsi:type="dcterms:W3CDTF">2025-11-16T14:55:00Z</dcterms:modified>
</cp:coreProperties>
</file>